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FDFBE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附件2</w:t>
      </w:r>
    </w:p>
    <w:p w14:paraId="5460BA9F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片仔癀专效深养系列牙膏及“械字号”口腔膏产品营销咨询策划</w:t>
      </w:r>
    </w:p>
    <w:p w14:paraId="6067D52A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项目评分表</w:t>
      </w:r>
    </w:p>
    <w:tbl>
      <w:tblPr>
        <w:tblStyle w:val="8"/>
        <w:tblW w:w="92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152"/>
        <w:gridCol w:w="1237"/>
        <w:gridCol w:w="764"/>
      </w:tblGrid>
      <w:tr w14:paraId="70044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</w:tcPr>
          <w:p w14:paraId="49604B3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项目</w:t>
            </w:r>
          </w:p>
        </w:tc>
        <w:tc>
          <w:tcPr>
            <w:tcW w:w="6152" w:type="dxa"/>
          </w:tcPr>
          <w:p w14:paraId="59800C6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评审内容及标准</w:t>
            </w:r>
          </w:p>
        </w:tc>
        <w:tc>
          <w:tcPr>
            <w:tcW w:w="1237" w:type="dxa"/>
            <w:vAlign w:val="center"/>
          </w:tcPr>
          <w:p w14:paraId="2425F85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所占分值</w:t>
            </w:r>
          </w:p>
        </w:tc>
        <w:tc>
          <w:tcPr>
            <w:tcW w:w="764" w:type="dxa"/>
          </w:tcPr>
          <w:p w14:paraId="27EB726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得分</w:t>
            </w:r>
          </w:p>
        </w:tc>
      </w:tr>
      <w:tr w14:paraId="762B5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25" w:type="dxa"/>
            <w:vAlign w:val="center"/>
          </w:tcPr>
          <w:p w14:paraId="0D93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企业</w:t>
            </w:r>
          </w:p>
          <w:p w14:paraId="1D2D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综合</w:t>
            </w:r>
          </w:p>
          <w:p w14:paraId="5412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实力</w:t>
            </w:r>
          </w:p>
        </w:tc>
        <w:tc>
          <w:tcPr>
            <w:tcW w:w="6152" w:type="dxa"/>
            <w:vAlign w:val="center"/>
          </w:tcPr>
          <w:p w14:paraId="39B5E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6"/>
                <w:szCs w:val="26"/>
              </w:rPr>
              <w:t>OTC行业非药类品类咨询案例：对有承接、服务过日化、化妆品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6"/>
                <w:szCs w:val="26"/>
                <w:lang w:val="en-US" w:eastAsia="zh-CN"/>
              </w:rPr>
              <w:t>或其它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6"/>
                <w:szCs w:val="26"/>
              </w:rPr>
              <w:t>非药产品并有成功营销方案案例的有效证明文件进行评价，有效证明文件包括但不限于该项目的服务合同文本复印件、案例等（包括但不限讲解视频、方案PPT、图片、执行文件等）。</w:t>
            </w:r>
          </w:p>
          <w:p w14:paraId="4AA6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A.案例以质量为先，每提供一个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>符合要求的成功案例最高可得5分，最多提供3个案例，封顶为15分；</w:t>
            </w:r>
          </w:p>
          <w:p w14:paraId="2008D8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B.不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>符合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>要求的案例不得分。</w:t>
            </w:r>
          </w:p>
        </w:tc>
        <w:tc>
          <w:tcPr>
            <w:tcW w:w="1237" w:type="dxa"/>
            <w:vAlign w:val="center"/>
          </w:tcPr>
          <w:p w14:paraId="7091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15分</w:t>
            </w:r>
          </w:p>
        </w:tc>
        <w:tc>
          <w:tcPr>
            <w:tcW w:w="764" w:type="dxa"/>
            <w:vAlign w:val="center"/>
          </w:tcPr>
          <w:p w14:paraId="33A3295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24CD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3" w:hRule="atLeast"/>
          <w:jc w:val="center"/>
        </w:trPr>
        <w:tc>
          <w:tcPr>
            <w:tcW w:w="1125" w:type="dxa"/>
            <w:vAlign w:val="center"/>
          </w:tcPr>
          <w:p w14:paraId="4ABE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人</w:t>
            </w:r>
          </w:p>
          <w:p w14:paraId="6332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员</w:t>
            </w:r>
          </w:p>
          <w:p w14:paraId="60CB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配</w:t>
            </w:r>
          </w:p>
          <w:p w14:paraId="3820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备</w:t>
            </w:r>
          </w:p>
        </w:tc>
        <w:tc>
          <w:tcPr>
            <w:tcW w:w="6152" w:type="dxa"/>
            <w:vAlign w:val="center"/>
          </w:tcPr>
          <w:p w14:paraId="200F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  <w:t>根据参选人（或其控股公司）项目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执行团队整体架构完整程度，各岗位人员的配置情况等进行评价。</w:t>
            </w:r>
          </w:p>
          <w:p w14:paraId="49AC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A.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>架构齐全完整，项目组成员需包含以上成功案例项目组长、副组长级别人员3名，整体团队数量大于等于8人。且团队成员分工安排合理，职责描述完整，可保证项目顺利进行，得5分；</w:t>
            </w:r>
          </w:p>
          <w:p w14:paraId="1FDF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B.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>架构基本完整，项目组成员需包含以上成功案例项目组长、副组长级别人员2名，整体团队数量大于等于6人。且团队成员的分工较为合理，职责描述较为完善，可保证项目进行，得4分；</w:t>
            </w:r>
          </w:p>
          <w:p w14:paraId="30ED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C.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>架构较完整，项目组成员需包含以上成功案例项目组长、副组长级别人员1名，整体团队数量大于等于4人。且团队成员的分工不明确，职责描述模糊，但基本满足项目落地，得3分；</w:t>
            </w:r>
          </w:p>
          <w:p w14:paraId="507C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D.架构不完整，人员分工不明确不得分。</w:t>
            </w:r>
          </w:p>
        </w:tc>
        <w:tc>
          <w:tcPr>
            <w:tcW w:w="1237" w:type="dxa"/>
            <w:vAlign w:val="center"/>
          </w:tcPr>
          <w:p w14:paraId="690D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764" w:type="dxa"/>
          </w:tcPr>
          <w:p w14:paraId="60C674C6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324B42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  <w:jc w:val="center"/>
        </w:trPr>
        <w:tc>
          <w:tcPr>
            <w:tcW w:w="1125" w:type="dxa"/>
            <w:vAlign w:val="center"/>
          </w:tcPr>
          <w:p w14:paraId="522F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基础</w:t>
            </w:r>
          </w:p>
          <w:p w14:paraId="4F0A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营销</w:t>
            </w:r>
          </w:p>
          <w:p w14:paraId="55A5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策划</w:t>
            </w:r>
          </w:p>
          <w:p w14:paraId="498C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方案</w:t>
            </w:r>
          </w:p>
        </w:tc>
        <w:tc>
          <w:tcPr>
            <w:tcW w:w="6152" w:type="dxa"/>
            <w:vAlign w:val="center"/>
          </w:tcPr>
          <w:p w14:paraId="71FC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6"/>
                <w:szCs w:val="26"/>
              </w:rPr>
              <w:t>根据策划方案要求的内容进行评分：</w:t>
            </w:r>
          </w:p>
          <w:p w14:paraId="2DF3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A.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市场洞察力较强，行业分析专业，服务方向多维，方案内容完成丰富，对项目的重点难点剖析精准、深入，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解决方案完善且可落地得25-40分；</w:t>
            </w:r>
          </w:p>
          <w:p w14:paraId="4596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B.服务方向及内容较为丰富，对项目的重点难点有相对系统化的分析，调研报告合理、一般得10-25分；</w:t>
            </w:r>
          </w:p>
          <w:p w14:paraId="2F4C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C.服务方向及内容较为单一，对项目的重点难点剖析较浅，调研报告较为粗略得1-10分。</w:t>
            </w:r>
          </w:p>
        </w:tc>
        <w:tc>
          <w:tcPr>
            <w:tcW w:w="1237" w:type="dxa"/>
            <w:vAlign w:val="center"/>
          </w:tcPr>
          <w:p w14:paraId="1E6F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40分</w:t>
            </w:r>
          </w:p>
        </w:tc>
        <w:tc>
          <w:tcPr>
            <w:tcW w:w="764" w:type="dxa"/>
          </w:tcPr>
          <w:p w14:paraId="010D35A4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79739E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125" w:type="dxa"/>
            <w:vAlign w:val="center"/>
          </w:tcPr>
          <w:p w14:paraId="26BC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增量</w:t>
            </w:r>
          </w:p>
          <w:p w14:paraId="58D1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业绩</w:t>
            </w:r>
          </w:p>
          <w:p w14:paraId="7B1D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考核</w:t>
            </w:r>
          </w:p>
          <w:p w14:paraId="601F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6152" w:type="dxa"/>
            <w:vAlign w:val="center"/>
          </w:tcPr>
          <w:p w14:paraId="6473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  <w:t>根据增量业绩考核方案的合理性进行评分：</w:t>
            </w:r>
          </w:p>
          <w:p w14:paraId="2E61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A.考核方案及价格合理，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增量目标符合预期得10-20分；</w:t>
            </w:r>
          </w:p>
          <w:p w14:paraId="402D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B.考核方案及价格合理基本合理，低于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增量目标预期得5-10分；</w:t>
            </w:r>
          </w:p>
          <w:p w14:paraId="2E24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b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C.考核方案及价格不合理，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与增量目标预期差距较大得1-5分。</w:t>
            </w:r>
          </w:p>
        </w:tc>
        <w:tc>
          <w:tcPr>
            <w:tcW w:w="1237" w:type="dxa"/>
            <w:vAlign w:val="center"/>
          </w:tcPr>
          <w:p w14:paraId="0C1AD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20分</w:t>
            </w:r>
          </w:p>
        </w:tc>
        <w:tc>
          <w:tcPr>
            <w:tcW w:w="764" w:type="dxa"/>
          </w:tcPr>
          <w:p w14:paraId="0943AE26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5D7927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1125" w:type="dxa"/>
            <w:vAlign w:val="center"/>
          </w:tcPr>
          <w:p w14:paraId="52E5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价</w:t>
            </w:r>
          </w:p>
          <w:p w14:paraId="0C70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格</w:t>
            </w:r>
          </w:p>
        </w:tc>
        <w:tc>
          <w:tcPr>
            <w:tcW w:w="6152" w:type="dxa"/>
            <w:vAlign w:val="center"/>
          </w:tcPr>
          <w:p w14:paraId="51D5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  <w:t>评分标准：参选公司需根据【附件1】表格内容进行填写，我方将根据参与比选公司各板块所报价格进行费用测算并打分。</w:t>
            </w:r>
          </w:p>
          <w:p w14:paraId="5EB8F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报价平均价将作为评审基准价。</w:t>
            </w:r>
          </w:p>
          <w:p w14:paraId="1CBE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参选报价分：</w:t>
            </w:r>
          </w:p>
          <w:p w14:paraId="2582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以参选公司所报的总价平均价为基准价，按照每高于平均价5%扣5分，每低于平均价5%扣2.5分的方式，计算参选公司的费用得分（四舍五入保留两位小数点）。</w:t>
            </w:r>
          </w:p>
          <w:p w14:paraId="2CA7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例：A公司报价3.5万，平均价为3万，A公司费用得分为：板块分值35-[（35000-30000）/（30000×5%）]×5=18.33</w:t>
            </w:r>
          </w:p>
          <w:p w14:paraId="733E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textAlignment w:val="auto"/>
              <w:rPr>
                <w:rFonts w:hint="eastAsia" w:ascii="宋体" w:hAnsi="宋体" w:eastAsia="宋体" w:cs="宋体"/>
                <w:b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B公司报价2.5万，平均价为3万，B公司费用得分为：板块分值35-[（30000-25000）/（30000×5%）]×2.5=26.66</w:t>
            </w:r>
          </w:p>
        </w:tc>
        <w:tc>
          <w:tcPr>
            <w:tcW w:w="1237" w:type="dxa"/>
            <w:vAlign w:val="center"/>
          </w:tcPr>
          <w:p w14:paraId="59F71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20分</w:t>
            </w:r>
          </w:p>
        </w:tc>
        <w:tc>
          <w:tcPr>
            <w:tcW w:w="764" w:type="dxa"/>
          </w:tcPr>
          <w:p w14:paraId="44BD1044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370EF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77" w:type="dxa"/>
            <w:gridSpan w:val="2"/>
            <w:vAlign w:val="center"/>
          </w:tcPr>
          <w:p w14:paraId="58509168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6"/>
                <w:szCs w:val="26"/>
              </w:rPr>
              <w:t>总分</w:t>
            </w:r>
          </w:p>
        </w:tc>
        <w:tc>
          <w:tcPr>
            <w:tcW w:w="1237" w:type="dxa"/>
            <w:vAlign w:val="center"/>
          </w:tcPr>
          <w:p w14:paraId="58B9126E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100分</w:t>
            </w:r>
          </w:p>
        </w:tc>
        <w:tc>
          <w:tcPr>
            <w:tcW w:w="764" w:type="dxa"/>
          </w:tcPr>
          <w:p w14:paraId="42833383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</w:tbl>
    <w:p w14:paraId="6CE52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  <w:u w:val="single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single"/>
        </w:rPr>
        <w:t>评分说明：</w:t>
      </w:r>
      <w:bookmarkStart w:id="0" w:name="_GoBack"/>
      <w:bookmarkEnd w:id="0"/>
    </w:p>
    <w:p w14:paraId="7A3DD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（1）以上项目评判，缺失项目或无法按比选方案提供的项目，不得分；</w:t>
      </w:r>
    </w:p>
    <w:p w14:paraId="22A78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本次评审采用综合得分评审，总得分最高方为第一中选方，参选方报价为最高合作金额参考价，双方的最终合作需经友好协商对合同内容进一步补充细化，再根据服务内容进行基础费用、业绩考核、服务项目等细节洽谈并最终以合同签订的价格为准。</w:t>
      </w:r>
    </w:p>
    <w:sectPr>
      <w:pgSz w:w="11906" w:h="16838"/>
      <w:pgMar w:top="1020" w:right="1304" w:bottom="102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F0B51F-2654-4697-903F-5AB6B02BD0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C31F388-4F39-4284-A182-65EB00189AC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1C8C3AE-4BDB-4AB9-BBB6-FFCF70C4AB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065AEFD-7017-4827-87CF-163BCF38CBA3}"/>
  </w:font>
  <w:font w:name="___WRD_EMBED_SUB_5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F40EE8"/>
    <w:rsid w:val="000371EE"/>
    <w:rsid w:val="00114520"/>
    <w:rsid w:val="00121675"/>
    <w:rsid w:val="00C655E9"/>
    <w:rsid w:val="00C97384"/>
    <w:rsid w:val="00D50E0D"/>
    <w:rsid w:val="00F40EE8"/>
    <w:rsid w:val="01A54E90"/>
    <w:rsid w:val="04C9495C"/>
    <w:rsid w:val="04D771C8"/>
    <w:rsid w:val="0501274A"/>
    <w:rsid w:val="05876466"/>
    <w:rsid w:val="08756742"/>
    <w:rsid w:val="089253E9"/>
    <w:rsid w:val="11A71B81"/>
    <w:rsid w:val="11C0523E"/>
    <w:rsid w:val="11FC5B1D"/>
    <w:rsid w:val="163D0CAC"/>
    <w:rsid w:val="17192340"/>
    <w:rsid w:val="18DE057F"/>
    <w:rsid w:val="1A082D25"/>
    <w:rsid w:val="1F774E7A"/>
    <w:rsid w:val="233E7DB9"/>
    <w:rsid w:val="248A1F9C"/>
    <w:rsid w:val="28E02F21"/>
    <w:rsid w:val="2938151F"/>
    <w:rsid w:val="29D9697D"/>
    <w:rsid w:val="2C9351F2"/>
    <w:rsid w:val="3571119D"/>
    <w:rsid w:val="36CB0175"/>
    <w:rsid w:val="39383D11"/>
    <w:rsid w:val="3CD21FAF"/>
    <w:rsid w:val="4087218D"/>
    <w:rsid w:val="40F366F0"/>
    <w:rsid w:val="47015CB7"/>
    <w:rsid w:val="47C97267"/>
    <w:rsid w:val="49A011E6"/>
    <w:rsid w:val="4C8F2C7F"/>
    <w:rsid w:val="50D773AE"/>
    <w:rsid w:val="5C6E089F"/>
    <w:rsid w:val="5EBF033B"/>
    <w:rsid w:val="5EED4F72"/>
    <w:rsid w:val="608D61E1"/>
    <w:rsid w:val="61AD7FB6"/>
    <w:rsid w:val="62B64324"/>
    <w:rsid w:val="63723E06"/>
    <w:rsid w:val="665F7D80"/>
    <w:rsid w:val="692A73BD"/>
    <w:rsid w:val="69E228CC"/>
    <w:rsid w:val="6D286B5F"/>
    <w:rsid w:val="6EC83476"/>
    <w:rsid w:val="70771427"/>
    <w:rsid w:val="72F63166"/>
    <w:rsid w:val="776B4FDE"/>
    <w:rsid w:val="7D8012FE"/>
    <w:rsid w:val="7E4C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5"/>
    <w:autoRedefine/>
    <w:qFormat/>
    <w:uiPriority w:val="0"/>
    <w:pPr>
      <w:spacing w:before="100" w:beforeAutospacing="1"/>
      <w:ind w:firstLine="420" w:firstLineChars="100"/>
    </w:pPr>
    <w:rPr>
      <w:szCs w:val="2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5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脚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1204</Words>
  <Characters>1305</Characters>
  <Lines>9</Lines>
  <Paragraphs>2</Paragraphs>
  <TotalTime>13</TotalTime>
  <ScaleCrop>false</ScaleCrop>
  <LinksUpToDate>false</LinksUpToDate>
  <CharactersWithSpaces>1305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2024-12-23T02:53:00Z</dcterms:created>
  <dc:creator>HUAWEI</dc:creator>
  <cp:lastModifiedBy> L－SYing*</cp:lastModifiedBy>
  <cp:lastPrinted>2024-06-25T08:14:00Z</cp:lastPrinted>
  <dcterms:modified xsi:type="dcterms:W3CDTF">2024-12-23T03:17:19Z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F432C313A9EB48DD846F332D5840910E_13</vt:lpwstr>
  </property>
</Properties>
</file>